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– ЮГРА</w:t>
      </w: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</w:pPr>
      <w:r w:rsidRPr="007C0A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  <w:t>ДУМА</w:t>
      </w: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C0A68" w:rsidRPr="007C0A68" w:rsidRDefault="007401D9" w:rsidP="004B3E76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21.06.2024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№ 480</w:t>
      </w: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A68" w:rsidRPr="007C0A68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 о результатах </w:t>
      </w:r>
    </w:p>
    <w:p w:rsidR="007C0A68" w:rsidRPr="007C0A68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муниципального </w:t>
      </w:r>
    </w:p>
    <w:p w:rsidR="00667A73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</w:t>
      </w:r>
    </w:p>
    <w:p w:rsidR="00667A73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«Досуговый </w:t>
      </w:r>
    </w:p>
    <w:p w:rsidR="007C0A68" w:rsidRPr="007C0A68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2023 год</w:t>
      </w:r>
    </w:p>
    <w:p w:rsidR="007C0A68" w:rsidRPr="007C0A68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результатах деятельности муниципального бюджетного учреждения Ханты-Мансийского района «Досуговый центр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2023 год, руководствуясь частью 1 статьи 31 Устава Ханты-Мансийского района,</w:t>
      </w:r>
    </w:p>
    <w:p w:rsidR="007C0A68" w:rsidRPr="007C0A68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C0A68" w:rsidRPr="007C0A68" w:rsidRDefault="007C0A68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 результатах деятельности муниципального бюджетного учреждения Ханты-Мансийского района «Досуговый центр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7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согласно приложению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C0A68" w:rsidRPr="007C0A68" w:rsidRDefault="007C0A68" w:rsidP="004B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68" w:rsidRPr="007C0A68" w:rsidRDefault="007C0A68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7C0A68" w:rsidRPr="007C0A68" w:rsidRDefault="00667A73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0A68"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Данил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</w:p>
    <w:p w:rsidR="007C0A68" w:rsidRPr="007C0A68" w:rsidRDefault="007401D9" w:rsidP="004B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21.06.2024</w:t>
      </w:r>
    </w:p>
    <w:p w:rsidR="00F56911" w:rsidRDefault="00F56911" w:rsidP="004B3E76">
      <w:pPr>
        <w:spacing w:after="0" w:line="240" w:lineRule="auto"/>
      </w:pPr>
    </w:p>
    <w:p w:rsidR="007C0A68" w:rsidRDefault="007C0A68" w:rsidP="004B3E76">
      <w:pPr>
        <w:spacing w:after="0" w:line="240" w:lineRule="auto"/>
      </w:pPr>
    </w:p>
    <w:p w:rsidR="00667A73" w:rsidRDefault="00667A73" w:rsidP="004B3E76">
      <w:pPr>
        <w:spacing w:after="0" w:line="240" w:lineRule="auto"/>
      </w:pPr>
    </w:p>
    <w:p w:rsidR="00667A73" w:rsidRDefault="00667A73" w:rsidP="004B3E76">
      <w:pPr>
        <w:spacing w:after="0" w:line="240" w:lineRule="auto"/>
      </w:pPr>
    </w:p>
    <w:p w:rsidR="00667A73" w:rsidRDefault="00667A73" w:rsidP="004B3E76">
      <w:pPr>
        <w:spacing w:after="0" w:line="240" w:lineRule="auto"/>
      </w:pPr>
    </w:p>
    <w:p w:rsidR="00667A73" w:rsidRDefault="00667A73" w:rsidP="004B3E76">
      <w:pPr>
        <w:spacing w:after="0" w:line="240" w:lineRule="auto"/>
      </w:pPr>
    </w:p>
    <w:p w:rsidR="00667A73" w:rsidRDefault="00667A73" w:rsidP="004B3E76">
      <w:pPr>
        <w:spacing w:after="0" w:line="240" w:lineRule="auto"/>
      </w:pPr>
    </w:p>
    <w:p w:rsidR="00667A73" w:rsidRDefault="00667A73" w:rsidP="004B3E76">
      <w:pPr>
        <w:spacing w:after="0" w:line="240" w:lineRule="auto"/>
      </w:pPr>
    </w:p>
    <w:p w:rsidR="007C0A68" w:rsidRDefault="007C0A68" w:rsidP="004B3E76">
      <w:pPr>
        <w:spacing w:after="0" w:line="240" w:lineRule="auto"/>
      </w:pPr>
    </w:p>
    <w:p w:rsidR="007C0A68" w:rsidRDefault="007C0A68" w:rsidP="004B3E76">
      <w:pPr>
        <w:spacing w:after="0" w:line="240" w:lineRule="auto"/>
      </w:pPr>
    </w:p>
    <w:p w:rsidR="00A30D4C" w:rsidRPr="00C6597B" w:rsidRDefault="00A30D4C" w:rsidP="004B3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9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0D4C" w:rsidRPr="00C6597B" w:rsidRDefault="00A30D4C" w:rsidP="004B3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97B">
        <w:rPr>
          <w:rFonts w:ascii="Times New Roman" w:hAnsi="Times New Roman" w:cs="Times New Roman"/>
          <w:sz w:val="28"/>
          <w:szCs w:val="28"/>
        </w:rPr>
        <w:t xml:space="preserve"> к решению Думы</w:t>
      </w:r>
    </w:p>
    <w:p w:rsidR="00A30D4C" w:rsidRPr="00C6597B" w:rsidRDefault="00A30D4C" w:rsidP="004B3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97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30D4C" w:rsidRPr="00C6597B" w:rsidRDefault="00A30D4C" w:rsidP="004B3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97B">
        <w:rPr>
          <w:rFonts w:ascii="Times New Roman" w:hAnsi="Times New Roman" w:cs="Times New Roman"/>
          <w:sz w:val="28"/>
          <w:szCs w:val="28"/>
        </w:rPr>
        <w:t xml:space="preserve">от </w:t>
      </w:r>
      <w:r w:rsidR="00667A73">
        <w:rPr>
          <w:rFonts w:ascii="Times New Roman" w:hAnsi="Times New Roman" w:cs="Times New Roman"/>
          <w:sz w:val="28"/>
          <w:szCs w:val="28"/>
        </w:rPr>
        <w:t>21.06.2024</w:t>
      </w:r>
      <w:r w:rsidRPr="00C6597B">
        <w:rPr>
          <w:rFonts w:ascii="Times New Roman" w:hAnsi="Times New Roman" w:cs="Times New Roman"/>
          <w:sz w:val="28"/>
          <w:szCs w:val="28"/>
        </w:rPr>
        <w:t xml:space="preserve"> № </w:t>
      </w:r>
      <w:r w:rsidR="007401D9">
        <w:rPr>
          <w:rFonts w:ascii="Times New Roman" w:hAnsi="Times New Roman" w:cs="Times New Roman"/>
          <w:sz w:val="28"/>
          <w:szCs w:val="28"/>
        </w:rPr>
        <w:t>480</w:t>
      </w:r>
      <w:bookmarkStart w:id="0" w:name="_GoBack"/>
      <w:bookmarkEnd w:id="0"/>
    </w:p>
    <w:p w:rsidR="00A30D4C" w:rsidRPr="00C6597B" w:rsidRDefault="00A30D4C" w:rsidP="004B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76" w:rsidRDefault="004B3E76" w:rsidP="004B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30D4C" w:rsidRDefault="004B3E76" w:rsidP="004B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0D4C" w:rsidRPr="00C6597B">
        <w:rPr>
          <w:rFonts w:ascii="Times New Roman" w:hAnsi="Times New Roman" w:cs="Times New Roman"/>
          <w:sz w:val="28"/>
          <w:szCs w:val="28"/>
        </w:rPr>
        <w:t xml:space="preserve"> результатах деятельности </w:t>
      </w:r>
      <w:proofErr w:type="gramStart"/>
      <w:r w:rsidR="00A30D4C" w:rsidRPr="00C659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30D4C" w:rsidRPr="00C6597B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A30D4C" w:rsidRPr="00C6597B" w:rsidRDefault="00A30D4C" w:rsidP="004B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7B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района </w:t>
      </w:r>
      <w:r w:rsidR="002331EA" w:rsidRPr="002331E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C6597B">
        <w:rPr>
          <w:rFonts w:ascii="Times New Roman" w:hAnsi="Times New Roman" w:cs="Times New Roman"/>
          <w:sz w:val="28"/>
          <w:szCs w:val="28"/>
        </w:rPr>
        <w:t xml:space="preserve"> «Досуговый центр «</w:t>
      </w:r>
      <w:proofErr w:type="spellStart"/>
      <w:r w:rsidRPr="00C6597B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C6597B">
        <w:rPr>
          <w:rFonts w:ascii="Times New Roman" w:hAnsi="Times New Roman" w:cs="Times New Roman"/>
          <w:sz w:val="28"/>
          <w:szCs w:val="28"/>
        </w:rPr>
        <w:t>» за 2023 год</w:t>
      </w:r>
    </w:p>
    <w:p w:rsidR="00A30D4C" w:rsidRPr="007C0A68" w:rsidRDefault="00A30D4C" w:rsidP="004B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муниципального бюджетного учреждения Ханты-Мансийского района «Досуговый центр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 осуществляется за счет средств муниципального бюджета, выделенных на выполнение муниципального задания и средств от приносящей доход предпринимательской деятельности.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из местного бюджета в 2023 году предусмотрено в сумме 10 919,7 тыс. рублей, исполнение составило 10 919,7 тыс. рублей или 100 %. 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01.06.2024 штат сотрудников Учреждения составляет 8 единиц. За счет средств субсидии на выполнение муниципального задания содержатся 6 единиц, за счет средств от приносящей доход деятельности – 2 единицы.</w:t>
      </w:r>
    </w:p>
    <w:p w:rsidR="007C0A68" w:rsidRPr="00A854EE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за счет </w:t>
      </w:r>
      <w:r w:rsidR="00CA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иные цели для укрепления </w:t>
      </w:r>
      <w:r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и приобретения спецтехники было предусмотрено в сумме 915 6,66 </w:t>
      </w:r>
      <w:r w:rsidR="003D4424"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Исполнено плановых назначений в сумме 915 6,66 </w:t>
      </w:r>
      <w:r w:rsidR="003D4424"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составляет 100 % (</w:t>
      </w:r>
      <w:proofErr w:type="gramStart"/>
      <w:r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лодка и навигатор).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обеспечение реализации полномочий по организации отдыха населения, а также созданию условий для регулируемого туризма и отдыха населению Ханты-Мансийского района, г. Ханты-Мансийска и других регионов.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работа по муниципальному заданию выполнена в полном объеме, в том числе: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работа по формированию реестра туристических объектов, актуализирована информация о туристских маршрутах, турах и экскурсионных программах Ханты-Мансийского района;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актуализирована информация на платформе «Визит Югра» об организациях</w:t>
      </w:r>
      <w:r w:rsidR="004B3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услуги средств размещения на территории Ханты-Мансийского района;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актуализирована информация об информационных знаках турист</w:t>
      </w:r>
      <w:r w:rsidR="002331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системы навигации по Ханты-Мансийскому району;</w:t>
      </w:r>
    </w:p>
    <w:p w:rsid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совместная работа с МАУ «Организационно-методический центр» по подготовке претендентов на прохождение аттестации в качестве экскурсоводов (гидов);</w:t>
      </w:r>
    </w:p>
    <w:p w:rsidR="007C0A68" w:rsidRPr="007C0A68" w:rsidRDefault="007C0A68" w:rsidP="004B3E7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межведомственной стратегической сессии «программа развития инфраструктурного каркаса в сфере туризма </w:t>
      </w:r>
      <w:proofErr w:type="gram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актуализирована информация туристических буклетов по достопримечательнос</w:t>
      </w:r>
      <w:r w:rsidR="004B3E7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тям, базам отдыха, расположенным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 и проведено распространение среди населения Ханты-Мансийского автономного округа – Югры и за ее пределами;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ежегодном туристском форуме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ЮграТур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2023»; 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о сотрудничестве в сфере туризма между муниципальным бюджетным учреждением Ханты-Мансийского района «Досуговый центр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муниципальным автономн</w:t>
      </w:r>
      <w:r w:rsidR="002331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 «Организационно-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центр».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территории района туристические услуги предоставляли 4 национальные общины, 5 баз отдыха, 3 организации, обеспечивающие услуги размещения, а также эколого-просветительский центр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Шапшинское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урочище», входящий в состав природного парка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0A68" w:rsidRPr="007C0A68" w:rsidRDefault="004B3E76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  <w:r w:rsidR="007C0A68"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</w:t>
      </w:r>
      <w:proofErr w:type="gramStart"/>
      <w:r w:rsidR="007C0A68"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туристов, посетивших Ханты-Мансийский район из разных субъектов Российской Федерации составило</w:t>
      </w:r>
      <w:proofErr w:type="gramEnd"/>
      <w:r w:rsidR="007C0A68"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31 777 человек.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поставщиками услуг этнографического туризма </w:t>
      </w:r>
      <w:proofErr w:type="gram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являются территории национальных родовых общин, в том числе: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община коренных малочисленных народов Севера «Остяко-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Вогульск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предоставляющая услуги семейного и корпоративного отдыха в гостевых домиках вместимостью от 5 до 16 человек. Количество посетителей в 2023 году составило 3 352 человек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национальная родовая община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Колмодай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туристическая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этнодеревня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Вэнт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Корт», предоставляющая услуги семейного и корпоративного отдыха в гостевых домиках. В 2023 году количество посетивших составило 5 470 человек;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община коренных и малочисленных народов Севера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Востыхой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предлагающая демонстрацию промысловой и любительской рыбалки. Количество посетителей в 20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году составило 350 человек. 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эколого-просветительского туризма </w:t>
      </w:r>
      <w:proofErr w:type="gram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обеспечивается деятельностью эколого-просветительского центра (д. Шапша). Природоохранные, экологические, просветительские, туристические мероприятия центра в 2023 году посетило 12 841 человек. 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объект культурного наследия регионального значения амбар-завозня усадьбы сельского купца Е.И.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Рязанцева, находящийся в границах «Музея-усадьбы сельского торговца». В 2023 году количество посетивших составило 575 человек.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Бобро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находится краеведческий музей «Свет малой родины». За 2023 год количество посетивших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составило 130 человек.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«Домашний музей семьи Герасимовых», созданный жителям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2023 го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д музей посетило 115 человек.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Кедровый находится музей русского быта и истории, экспозиция музея рассказывает о жизни ссыльных в Сибири. В 2023 году музей по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сетило порядка 300 человек. 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п. </w:t>
      </w:r>
      <w:proofErr w:type="gram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библиотека-музей «Родина». В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музей посетило 287 человек.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 туристов привлекает старейший объект культурного наследия Ханты-Мансийского района – храм Вознесения Господня в п.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2023 году храм посетило 8 357 человек.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«Устойчивое развитие коренных малочисленных народов Севера на территории Ханты-Мансийского района» Учреждением принято участие в проведении мероприятий окружного и муниципального уровня, в том числе: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соревновании по охотничьему биатлону на территории Ханты-Мансийского района на базе отдыха «Остяко-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Вогульск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этнопразднике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на Кубок Губернатора Ханты-Мансийского автономного округа – Югры «Гонки на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обласах</w:t>
      </w:r>
      <w:proofErr w:type="spellEnd"/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</w:t>
      </w:r>
      <w:r w:rsidR="004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Ханты-Мансийского района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чемпионате по летней рыбалке и «Дня рыбака».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разработан координационный совет с целью создания координирующего органа в сфере туризма на территории Ханты-Мансийского района, для обес</w:t>
      </w:r>
      <w:r w:rsidR="00B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согласованных действий А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Ханты-Мансийского района и организаций, действующих в сфере туристской деятельности на территории района. В рамках деятельности координационного совета по развитию туризма на территории Ханты-Мансийского района планируются рассматривать вопросы, проекты и предложения в области развития турист</w:t>
      </w:r>
      <w:r w:rsidR="002331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Приносящая доход предпринимательская деятельность.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предпринимательской</w:t>
      </w:r>
      <w:r w:rsidR="0023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Учреждении являю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ведение охотничьего хозяйства, рыболовства, повышение продуктивности закрепленных охотничьих угодий и рыболовных участков и их рациональное использование.</w:t>
      </w:r>
    </w:p>
    <w:p w:rsidR="007C0A68" w:rsidRPr="007C0A68" w:rsidRDefault="00B30677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</w:t>
      </w:r>
      <w:r w:rsidR="007C0A68"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закреплено в долгосрочное пользование 996,59 тыс. га охотничьих угодий.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условий 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охотхозяйственного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заключенного с Департаментом недропользования и природных ресурсов </w:t>
      </w:r>
      <w:r w:rsidR="002331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в 2023 году, выполнено 6 видов следующих работ: 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зимний маршрутный учет охотничьих ресурсов в период с 15 января 2023 года по 25 марта 2023 года (проведено 79 маршрутов общей протяженностью 758,5 км);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учет бурого медведя (проведено 28 маршрутов общей протяженностью 168 км);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учет барсука (маршрут составил общей протяженностью 7,97 тыс. га);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учет водоплавающей дичи (охваченная площадь составила 2,75 тыс. га);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учет ондатры. Охвачены участки водных угодий в пойменной части, а также лесные реч</w:t>
      </w:r>
      <w:r w:rsidR="00B3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(обследован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водоем общей площадью 473,85 га);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 учет норки и выдры (проведено 22 маршрута протяженностью 135,7 км);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учет серой вороны (проведено 18 маршрутов протяженностью 416,5 км).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биотехнические мероприятия на закрепленных охотничьих угодьях, в том числе установлены: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солонцов –70 шт.;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галечников – 64 шт.;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дуплянок – 6 шт.</w:t>
      </w:r>
    </w:p>
    <w:p w:rsidR="007C0A68" w:rsidRPr="007C0A68" w:rsidRDefault="00B30677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12 рейдовых мероприятий</w:t>
      </w:r>
      <w:r w:rsidR="007C0A68"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закрепленных угодий, в ходе которых выявлено 1 нарушение правил охоты.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угрозы жизни </w:t>
      </w:r>
      <w:r w:rsidR="00CA2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здоровью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течение 2023 года Департаментом недропользования и природных ресурсов Ханты-Мансийского автономного округа – Югры принято 17 решений «О регулировании численности охотничьих ресурсов» в границах охотничьих угодий МБУ «Досуговый центр «</w:t>
      </w:r>
      <w:proofErr w:type="spellStart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исполнения вышеуказанных решений специалистами Учреждения были проведены мероприятия, установленные регламентом.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охотничий сезон 2023 года в Учреждение обратилось около 4 830 человек (организация любительской охоты). </w:t>
      </w:r>
    </w:p>
    <w:p w:rsidR="007C0A68" w:rsidRPr="007C0A68" w:rsidRDefault="007C0A68" w:rsidP="004B3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доход от иной приносящей доход деятельности за 2023 год составил 5 801,8 тыс. рублей, фактические расходы в 2023 году </w:t>
      </w:r>
      <w:r w:rsidRPr="003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3D4424" w:rsidRPr="003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5 71</w:t>
      </w:r>
      <w:r w:rsidRPr="003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4,3 </w:t>
      </w:r>
      <w:r w:rsidRPr="007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91 % от дохода. </w:t>
      </w:r>
    </w:p>
    <w:p w:rsidR="00A854EE" w:rsidRDefault="00A30D4C" w:rsidP="004B3E7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2024 году У</w:t>
      </w:r>
      <w:r w:rsidR="007C0A68" w:rsidRPr="004A68B2">
        <w:rPr>
          <w:rFonts w:ascii="Times New Roman" w:eastAsia="Times New Roman" w:hAnsi="Times New Roman" w:cs="Times New Roman"/>
          <w:sz w:val="28"/>
          <w:szCs w:val="28"/>
        </w:rPr>
        <w:t>чреждением планируется продолжение работы по вышеуказанным направлениям деятельности.</w:t>
      </w:r>
    </w:p>
    <w:p w:rsidR="00A854EE" w:rsidRPr="00A854EE" w:rsidRDefault="00A854EE" w:rsidP="00A854EE"/>
    <w:p w:rsidR="00A854EE" w:rsidRPr="00A854EE" w:rsidRDefault="00A854EE" w:rsidP="00A854EE"/>
    <w:p w:rsidR="00A854EE" w:rsidRPr="00A854EE" w:rsidRDefault="00A854EE" w:rsidP="00A854EE"/>
    <w:p w:rsidR="00A854EE" w:rsidRPr="00A854EE" w:rsidRDefault="00A854EE" w:rsidP="00A854EE"/>
    <w:p w:rsidR="00A854EE" w:rsidRPr="00A854EE" w:rsidRDefault="00A854EE" w:rsidP="00A854EE"/>
    <w:p w:rsidR="00A854EE" w:rsidRPr="00A854EE" w:rsidRDefault="00A854EE" w:rsidP="00A854EE"/>
    <w:p w:rsidR="00A854EE" w:rsidRPr="00A854EE" w:rsidRDefault="00A854EE" w:rsidP="00A854EE"/>
    <w:p w:rsidR="00A854EE" w:rsidRDefault="00A854EE" w:rsidP="00A854EE"/>
    <w:p w:rsidR="007C0A68" w:rsidRPr="00A854EE" w:rsidRDefault="00A854EE" w:rsidP="00A854EE">
      <w:pPr>
        <w:tabs>
          <w:tab w:val="left" w:pos="4215"/>
        </w:tabs>
      </w:pPr>
      <w:r>
        <w:tab/>
      </w:r>
    </w:p>
    <w:sectPr w:rsidR="007C0A68" w:rsidRPr="00A854EE" w:rsidSect="00667A73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66" w:rsidRDefault="00D95566" w:rsidP="007C0A68">
      <w:pPr>
        <w:spacing w:after="0" w:line="240" w:lineRule="auto"/>
      </w:pPr>
      <w:r>
        <w:separator/>
      </w:r>
    </w:p>
  </w:endnote>
  <w:endnote w:type="continuationSeparator" w:id="0">
    <w:p w:rsidR="00D95566" w:rsidRDefault="00D95566" w:rsidP="007C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00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A68" w:rsidRPr="00667A73" w:rsidRDefault="007C0A6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7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7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7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1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7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66" w:rsidRDefault="00D95566" w:rsidP="007C0A68">
      <w:pPr>
        <w:spacing w:after="0" w:line="240" w:lineRule="auto"/>
      </w:pPr>
      <w:r>
        <w:separator/>
      </w:r>
    </w:p>
  </w:footnote>
  <w:footnote w:type="continuationSeparator" w:id="0">
    <w:p w:rsidR="00D95566" w:rsidRDefault="00D95566" w:rsidP="007C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2A"/>
    <w:rsid w:val="000F57BB"/>
    <w:rsid w:val="00155889"/>
    <w:rsid w:val="00230327"/>
    <w:rsid w:val="002331EA"/>
    <w:rsid w:val="002724F6"/>
    <w:rsid w:val="003C272A"/>
    <w:rsid w:val="003D4424"/>
    <w:rsid w:val="00484B87"/>
    <w:rsid w:val="004B3E76"/>
    <w:rsid w:val="004D2FEF"/>
    <w:rsid w:val="005431F2"/>
    <w:rsid w:val="00667A73"/>
    <w:rsid w:val="007401D9"/>
    <w:rsid w:val="007C0A68"/>
    <w:rsid w:val="008D128D"/>
    <w:rsid w:val="00A30D4C"/>
    <w:rsid w:val="00A854EE"/>
    <w:rsid w:val="00A93E06"/>
    <w:rsid w:val="00B30677"/>
    <w:rsid w:val="00CA2555"/>
    <w:rsid w:val="00D9419E"/>
    <w:rsid w:val="00D95566"/>
    <w:rsid w:val="00F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A68"/>
  </w:style>
  <w:style w:type="paragraph" w:styleId="a5">
    <w:name w:val="footer"/>
    <w:basedOn w:val="a"/>
    <w:link w:val="a6"/>
    <w:uiPriority w:val="99"/>
    <w:unhideWhenUsed/>
    <w:rsid w:val="007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A68"/>
  </w:style>
  <w:style w:type="paragraph" w:styleId="a7">
    <w:name w:val="Balloon Text"/>
    <w:basedOn w:val="a"/>
    <w:link w:val="a8"/>
    <w:uiPriority w:val="99"/>
    <w:semiHidden/>
    <w:unhideWhenUsed/>
    <w:rsid w:val="007C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A68"/>
  </w:style>
  <w:style w:type="paragraph" w:styleId="a5">
    <w:name w:val="footer"/>
    <w:basedOn w:val="a"/>
    <w:link w:val="a6"/>
    <w:uiPriority w:val="99"/>
    <w:unhideWhenUsed/>
    <w:rsid w:val="007C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A68"/>
  </w:style>
  <w:style w:type="paragraph" w:styleId="a7">
    <w:name w:val="Balloon Text"/>
    <w:basedOn w:val="a"/>
    <w:link w:val="a8"/>
    <w:uiPriority w:val="99"/>
    <w:semiHidden/>
    <w:unhideWhenUsed/>
    <w:rsid w:val="007C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Сагирова О.А.</dc:creator>
  <cp:lastModifiedBy>Халикова Светлана</cp:lastModifiedBy>
  <cp:revision>8</cp:revision>
  <cp:lastPrinted>2024-06-24T06:06:00Z</cp:lastPrinted>
  <dcterms:created xsi:type="dcterms:W3CDTF">2024-06-07T11:50:00Z</dcterms:created>
  <dcterms:modified xsi:type="dcterms:W3CDTF">2024-06-24T06:51:00Z</dcterms:modified>
</cp:coreProperties>
</file>